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0E1" w:rsidRDefault="004920E1" w:rsidP="004920E1">
      <w:r>
        <w:t xml:space="preserve">OBRA: </w:t>
      </w:r>
      <w:r w:rsidRPr="004920E1">
        <w:t>EXECUÇÃO DE OBRAS DO JUIZADO DA COMARCA DE SANTANA DO IPANEMA</w:t>
      </w:r>
    </w:p>
    <w:p w:rsidR="004920E1" w:rsidRDefault="004920E1" w:rsidP="004920E1">
      <w:r>
        <w:t xml:space="preserve">Data base:  </w:t>
      </w:r>
      <w:r>
        <w:t>JUNHO/2014</w:t>
      </w:r>
    </w:p>
    <w:p w:rsidR="004920E1" w:rsidRDefault="004920E1" w:rsidP="004920E1"/>
    <w:p w:rsidR="004920E1" w:rsidRPr="004920E1" w:rsidRDefault="004920E1" w:rsidP="004920E1">
      <w:pPr>
        <w:jc w:val="center"/>
        <w:rPr>
          <w:b/>
          <w:sz w:val="28"/>
        </w:rPr>
      </w:pPr>
      <w:r w:rsidRPr="004920E1">
        <w:rPr>
          <w:b/>
          <w:sz w:val="28"/>
        </w:rPr>
        <w:t>DECLARAÇÃO</w:t>
      </w:r>
    </w:p>
    <w:p w:rsidR="004920E1" w:rsidRDefault="004920E1" w:rsidP="004920E1"/>
    <w:p w:rsidR="004920E1" w:rsidRDefault="004920E1" w:rsidP="004920E1">
      <w:r>
        <w:t>Ao Tribunal de Justiça do Estado de Alagoas</w:t>
      </w:r>
      <w:r>
        <w:t>, declar</w:t>
      </w:r>
      <w:r>
        <w:t>o</w:t>
      </w:r>
      <w:r>
        <w:t xml:space="preserve"> para os devidos fins que:</w:t>
      </w:r>
    </w:p>
    <w:p w:rsidR="004920E1" w:rsidRDefault="004920E1" w:rsidP="004920E1">
      <w:pPr>
        <w:jc w:val="both"/>
      </w:pPr>
      <w:r>
        <w:t>1. A</w:t>
      </w:r>
      <w:r>
        <w:t xml:space="preserve">pós a edição do Decreto Governamental nº 3.962/2008, publicado no Diário Oficial do Estado, em 04 de janeiro de 2008 e em obediência ao Art. 112 da Lei Federal 12.017/09 e ao Decreto 7.983 de 08 de abril de 2013, vem aplicando como valor máximo para composição do preço estimado e para custo global de referência de obras e serviços de engenharia previstas no projeto que integra o edital de licitação, exceto os serviços e obras de infraestrutura de transporte, as composições dos custos unitários com valores de insumos menores ou iguais à mediana de seus correspondentes nos custos unitários de referência do Sistema Nacional de Pesquisa de Custos e Índices da Construção Civil - </w:t>
      </w:r>
      <w:proofErr w:type="spellStart"/>
      <w:r>
        <w:t>Sinapi</w:t>
      </w:r>
      <w:proofErr w:type="spellEnd"/>
      <w:r>
        <w:t xml:space="preserve">, cuja manutenção e </w:t>
      </w:r>
      <w:proofErr w:type="spellStart"/>
      <w:r>
        <w:t>divugação</w:t>
      </w:r>
      <w:proofErr w:type="spellEnd"/>
      <w:r>
        <w:t xml:space="preserve"> cabe à Caixa Econômica Federal - CEF, segundo definições técnicas de engenharia da CEF e de pesquisa de preço realizada pelo Instituto Brasileiro de Geografia e Estatística - IBGE, excetuados os itens caracterizados como montagem industrial ou que não possam ser considerados como de construção civil;</w:t>
      </w:r>
    </w:p>
    <w:p w:rsidR="004920E1" w:rsidRDefault="004920E1" w:rsidP="004920E1">
      <w:pPr>
        <w:jc w:val="both"/>
      </w:pPr>
      <w:r>
        <w:t xml:space="preserve">2. </w:t>
      </w:r>
      <w:r>
        <w:t>A</w:t>
      </w:r>
      <w:r>
        <w:t xml:space="preserve">inda em obediência Decreto 7.983 de 08 de abril de 2013, o custo global de referência dos serviços e obras de infraestrutura de transportes é obtido a partir das composições dos custos unitários previstas no projeto que integra o edital de licitação, menores ou iguais aos seus correspondentes nos custos unitários de referência do Sistema de Custos Referenciais de Obras - </w:t>
      </w:r>
      <w:proofErr w:type="spellStart"/>
      <w:r>
        <w:t>Sicro</w:t>
      </w:r>
      <w:proofErr w:type="spellEnd"/>
      <w:r>
        <w:t>, cuja manutenção e divulgação cabe ao Departamento Nacional de Infraestrutura de Transportes - DNIT, excetuados os itens caracterizados como montagem industrial ou que não possam ser considerados como de infraestrutura de transportes;</w:t>
      </w:r>
    </w:p>
    <w:p w:rsidR="004920E1" w:rsidRDefault="004920E1" w:rsidP="004920E1">
      <w:pPr>
        <w:jc w:val="both"/>
      </w:pPr>
      <w:r>
        <w:t>3. Em caso de inviabilidade da definição dos custos conforme o disposto no</w:t>
      </w:r>
      <w:r>
        <w:t xml:space="preserve">s </w:t>
      </w:r>
      <w:proofErr w:type="spellStart"/>
      <w:r>
        <w:t>arts</w:t>
      </w:r>
      <w:proofErr w:type="spellEnd"/>
      <w:r>
        <w:t xml:space="preserve">. 3º, 4º e 5º do decreto </w:t>
      </w:r>
      <w:proofErr w:type="spellStart"/>
      <w:r>
        <w:t>Decreto</w:t>
      </w:r>
      <w:proofErr w:type="spellEnd"/>
      <w:r>
        <w:t xml:space="preserve"> 7.983 de 08 de abril de 2013, a estimativa de custo global poderá ser apurada por meio da utilização de dados contidos em tabela de referência formalmente aprovada por órgãos ou entidades da administração pública federal em publicações técnicas especializadas, em sistema específico instituído para o setor ou em pesquisa de mercado. De acordo com o Acórdão AC-1084-14/11-P, item 3.1.2. ("Subsidiariamente ao </w:t>
      </w:r>
      <w:proofErr w:type="spellStart"/>
      <w:r>
        <w:t>Sinapi</w:t>
      </w:r>
      <w:proofErr w:type="spellEnd"/>
      <w:r>
        <w:t xml:space="preserve">, foram empregadas composições de custos previstas no </w:t>
      </w:r>
      <w:proofErr w:type="spellStart"/>
      <w:r>
        <w:t>Orse</w:t>
      </w:r>
      <w:proofErr w:type="spellEnd"/>
      <w:r>
        <w:t xml:space="preserve"> (Orçamento de Obras de Sergipe), da Companhia Estadual de Habitação e Obras Públicas de Sergipe (</w:t>
      </w:r>
      <w:proofErr w:type="spellStart"/>
      <w:r>
        <w:t>Cehop</w:t>
      </w:r>
      <w:proofErr w:type="spellEnd"/>
      <w:r>
        <w:t xml:space="preserve">). Sempre que possível, essas composições foram adaptadas com custos de insumos previstos no </w:t>
      </w:r>
      <w:proofErr w:type="spellStart"/>
      <w:r>
        <w:t>Sinapi</w:t>
      </w:r>
      <w:proofErr w:type="spellEnd"/>
      <w:r>
        <w:t>. O procedimento adotado está em consonância com o Roteiro de Auditoria de Obras do TCU e com a jurisprudência da Corte, os quais preveem que, na ausência de serviço ou insumo nas fontes principais de referenciais (</w:t>
      </w:r>
      <w:proofErr w:type="spellStart"/>
      <w:r>
        <w:t>Sicro</w:t>
      </w:r>
      <w:proofErr w:type="spellEnd"/>
      <w:r>
        <w:t xml:space="preserve"> e o </w:t>
      </w:r>
      <w:proofErr w:type="spellStart"/>
      <w:r>
        <w:t>Sinapi</w:t>
      </w:r>
      <w:proofErr w:type="spellEnd"/>
      <w:r>
        <w:t xml:space="preserve">), deve se buscar fontes subsidiárias."), quando os valores de insumos e/ou serviços que não são encontrados nas tabelas do SINAPI e/ou do SICRO, são utilizados valores  do CEHOP/ORSE/DEHOP – Sistema de Orçamento de Obras do Departamento Estadual de Habitação e Obras Públicas do Estado de Sergipe, disponíveis para consulta pública nos sítios eletrônicos destes órgãos. Complementa-se ainda que FONTES SUBSIDIÁRIAS, são </w:t>
      </w:r>
      <w:proofErr w:type="spellStart"/>
      <w:r>
        <w:t>devinidas</w:t>
      </w:r>
      <w:proofErr w:type="spellEnd"/>
      <w:r>
        <w:t xml:space="preserve"> como tabelas de outros órgãos da administração sejam órgãos federais, estaduais ou municipais;</w:t>
      </w:r>
    </w:p>
    <w:p w:rsidR="004920E1" w:rsidRDefault="004920E1" w:rsidP="004920E1">
      <w:pPr>
        <w:jc w:val="both"/>
      </w:pPr>
      <w:r>
        <w:lastRenderedPageBreak/>
        <w:t xml:space="preserve">4. </w:t>
      </w:r>
      <w:r>
        <w:t>Q</w:t>
      </w:r>
      <w:r>
        <w:t>uando utilizadas composições correspondentes às tabelas de outras fontes que não as oficiais (conforme definidos em roteiros de auditoria do TCU: fontes subsidiárias, privadas e/ou alternativas), os insumos e coeficientes de suas composições são obedecidas, exceções para modificações de composições de acordo com disposições de projetos ou técnicas, porém os valores destes insumos utilizados correspondem aos indicados nas tabelas do  SINAPI – Sistema Nacional de Pesquisa de Custos e Índices da Construção Civil da Caixa Econômica Federal, disponível para consulta pública no sítio eletrônico da Caixa Econômica Federal, para o caso de obras e serviços de engenharia; e, para o caso de obras de infraestrutura de transportes, os insumos do SICRO - Sistema de Custos Rodoviários do Departamento Nacional de Infraestrutura de Transportes ou nas outras fontes de acordo com sequência descrita);</w:t>
      </w:r>
    </w:p>
    <w:p w:rsidR="004920E1" w:rsidRDefault="004920E1" w:rsidP="004920E1">
      <w:r>
        <w:t>5. C</w:t>
      </w:r>
      <w:r>
        <w:t>omo taxa para o cálculo de encargos sociais, vem utilizando a indicada nas tabelas do SINAPI e/ou SICRO, de acordo com o objeto a ser contratado;</w:t>
      </w:r>
    </w:p>
    <w:p w:rsidR="004920E1" w:rsidRDefault="004920E1" w:rsidP="004920E1">
      <w:r>
        <w:t>6. na elaboração da planilha orçamen</w:t>
      </w:r>
      <w:r>
        <w:t>taria, levou-se em consideração</w:t>
      </w:r>
    </w:p>
    <w:p w:rsidR="004920E1" w:rsidRDefault="004920E1" w:rsidP="004920E1">
      <w:pPr>
        <w:jc w:val="both"/>
      </w:pPr>
      <w:r>
        <w:t xml:space="preserve">          a. o disposto nas súmula do TCU no 254/2010 onde requisita que a planilha orçamentária contenha a descrição clara dos serviços e materiais; comprovação que os serviços descritos nos respectivos itens correspondem àqueles que serão aplicados na obra, pelo exame da composição unitária dos insumos (materiais, mão de obra, equipamentos, produtividade de equipamentos, encargos, </w:t>
      </w:r>
      <w:proofErr w:type="spellStart"/>
      <w:r>
        <w:t>etc</w:t>
      </w:r>
      <w:proofErr w:type="spellEnd"/>
      <w:r>
        <w:t>), caracterizada de forma analítica em suas composições (elaboradas ou disponíveis nos sítio eletrônico da Caixa Econômica Federal); contendo a discriminação total dos serviços em planilha ou composição, sem percentuais e sem unidades tipo "</w:t>
      </w:r>
      <w:proofErr w:type="spellStart"/>
      <w:r>
        <w:t>gl</w:t>
      </w:r>
      <w:proofErr w:type="spellEnd"/>
      <w:r>
        <w:t>", "</w:t>
      </w:r>
      <w:proofErr w:type="spellStart"/>
      <w:r>
        <w:t>vb</w:t>
      </w:r>
      <w:proofErr w:type="spellEnd"/>
      <w:r>
        <w:t>" ou "</w:t>
      </w:r>
      <w:proofErr w:type="spellStart"/>
      <w:r>
        <w:t>cj</w:t>
      </w:r>
      <w:proofErr w:type="spellEnd"/>
      <w:r>
        <w:t>", ou estas reduzidas a valores de menor significância ou com suas composições de custo unitários;</w:t>
      </w:r>
    </w:p>
    <w:p w:rsidR="004920E1" w:rsidRDefault="004920E1" w:rsidP="004920E1">
      <w:r>
        <w:t xml:space="preserve">          b. o disposto nas súmula do TCU no 258/2010 onde determina que as composições de custos unitários e o detalhamento de encargos sociai</w:t>
      </w:r>
      <w:r>
        <w:t>s e do BDI integram o orçamento</w:t>
      </w:r>
      <w:r>
        <w:t>;</w:t>
      </w:r>
    </w:p>
    <w:p w:rsidR="004920E1" w:rsidRDefault="004920E1" w:rsidP="004920E1">
      <w:pPr>
        <w:jc w:val="both"/>
      </w:pPr>
      <w:r>
        <w:t xml:space="preserve">          c. o disposto no acórdão do TCU no 1387/2006 onde requisita que a planilha orçamentária contenha os quantitativos dos serviços propriamente avaliados, contenha os preços unitários e totais em campos próprios, em custos diretos, BDI e encargos sociais (estes presentes de acordo com o declarado no item 3 acima); evidencie a previsão de BDI (%) em campo próprio e preveja os itens Administração local, Instalação do canteiro e Acampamento e Mobilização e Desmobilização como custo direto e não na composição do BDI (também disposto no acórdão do TCU no 325/2007;</w:t>
      </w:r>
    </w:p>
    <w:p w:rsidR="004920E1" w:rsidRDefault="004920E1" w:rsidP="004920E1">
      <w:pPr>
        <w:jc w:val="both"/>
      </w:pPr>
      <w:r>
        <w:t xml:space="preserve">          d. o disposto no acórdão do TCU no 325/2007 onde requisita que a planilha orçamentária não considere as parcelas de IRPJ (também disposto na súmula do TCU no 254/2010) e CSLL integrantes do custo direto nem integrantes do cálculo do BDI; contenha identificação através de nome, cargo/função, lotação no de matrícula funcional e o no de registro no CREA do agente público habilitado e capacitado;</w:t>
      </w:r>
    </w:p>
    <w:p w:rsidR="004920E1" w:rsidRDefault="004920E1" w:rsidP="004920E1">
      <w:pPr>
        <w:jc w:val="both"/>
      </w:pPr>
      <w:r>
        <w:t xml:space="preserve">          e. o disposto nas súmula do TCU no 253/2010 onde versa que comprovada a inviabilidade técnico-econômica de parcelamento do objeto da licitação, nos termos da legislação em vigor, os itens de fornecimento de materiais e equipamentos de natureza específica que possam ser fornecidos por empresas com especialidades próprias e diversas e que representem percentual significativo do preço global da obra devem apresentar incidência de taxa de Bonificação e Despesas Indiretas – BDI reduzida em relação à taxa aplicável aos demais itens;</w:t>
      </w:r>
    </w:p>
    <w:p w:rsidR="004920E1" w:rsidRDefault="004920E1" w:rsidP="004920E1"/>
    <w:p w:rsidR="004920E1" w:rsidRDefault="004920E1" w:rsidP="004920E1">
      <w:pPr>
        <w:jc w:val="both"/>
      </w:pPr>
      <w:r>
        <w:lastRenderedPageBreak/>
        <w:t xml:space="preserve">          f. o disposto no acórdão do TCU no 1.566/2005 - Plenário com relação aos critério de aceitabilidade para o Lucro e as Despesas Indiretas (LDI);</w:t>
      </w:r>
    </w:p>
    <w:p w:rsidR="004920E1" w:rsidRDefault="004920E1" w:rsidP="004920E1"/>
    <w:p w:rsidR="004920E1" w:rsidRDefault="004920E1" w:rsidP="004920E1"/>
    <w:p w:rsidR="004920E1" w:rsidRDefault="004920E1" w:rsidP="004920E1"/>
    <w:p w:rsidR="00804F91" w:rsidRDefault="004920E1" w:rsidP="004920E1">
      <w:r>
        <w:t>Responsável pela elaboração do orçamento:</w:t>
      </w:r>
    </w:p>
    <w:p w:rsidR="004920E1" w:rsidRDefault="004920E1" w:rsidP="004920E1"/>
    <w:p w:rsidR="004920E1" w:rsidRDefault="004920E1" w:rsidP="004920E1">
      <w:r>
        <w:tab/>
      </w:r>
      <w:r>
        <w:tab/>
      </w:r>
      <w:r>
        <w:tab/>
      </w:r>
      <w:r>
        <w:tab/>
      </w:r>
      <w:r>
        <w:tab/>
      </w:r>
      <w:r>
        <w:tab/>
      </w:r>
      <w:r>
        <w:tab/>
      </w:r>
      <w:r>
        <w:tab/>
      </w:r>
      <w:r>
        <w:tab/>
      </w:r>
      <w:r>
        <w:tab/>
      </w:r>
      <w:r>
        <w:tab/>
      </w:r>
    </w:p>
    <w:p w:rsidR="004920E1" w:rsidRPr="004920E1" w:rsidRDefault="004920E1" w:rsidP="004920E1">
      <w:r>
        <w:t>_______________________</w:t>
      </w:r>
      <w:r>
        <w:t>_____________________</w:t>
      </w:r>
      <w:r>
        <w:tab/>
      </w:r>
      <w:r>
        <w:tab/>
      </w:r>
      <w:r>
        <w:tab/>
      </w:r>
      <w:r>
        <w:tab/>
      </w:r>
      <w:r>
        <w:tab/>
      </w:r>
      <w:r>
        <w:br/>
      </w:r>
      <w:r>
        <w:t>JOÃO EMERSON CARMO CRISPIM</w:t>
      </w:r>
      <w:r>
        <w:tab/>
      </w:r>
      <w:r>
        <w:tab/>
      </w:r>
      <w:r>
        <w:tab/>
      </w:r>
      <w:r>
        <w:tab/>
      </w:r>
      <w:r>
        <w:tab/>
      </w:r>
      <w:r>
        <w:tab/>
      </w:r>
      <w:r>
        <w:tab/>
      </w:r>
      <w:r>
        <w:tab/>
        <w:t xml:space="preserve"> ENGENHEIRO CIVIL </w:t>
      </w:r>
      <w:r>
        <w:t>–</w:t>
      </w:r>
      <w:r>
        <w:t xml:space="preserve"> ORÇAMENTISTA</w:t>
      </w:r>
      <w:r>
        <w:br/>
      </w:r>
      <w:r>
        <w:t>CREA: 020990580-8</w:t>
      </w:r>
      <w:r>
        <w:tab/>
      </w:r>
      <w:r>
        <w:tab/>
      </w:r>
      <w:r>
        <w:tab/>
      </w:r>
      <w:r>
        <w:tab/>
      </w:r>
      <w:r>
        <w:tab/>
      </w:r>
      <w:r>
        <w:tab/>
      </w:r>
      <w:r>
        <w:tab/>
      </w:r>
      <w:r>
        <w:tab/>
      </w:r>
      <w:r>
        <w:tab/>
      </w:r>
      <w:r>
        <w:tab/>
      </w:r>
      <w:r>
        <w:tab/>
      </w:r>
      <w:bookmarkStart w:id="0" w:name="_GoBack"/>
      <w:bookmarkEnd w:id="0"/>
    </w:p>
    <w:sectPr w:rsidR="004920E1" w:rsidRPr="004920E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D98"/>
    <w:rsid w:val="00305D81"/>
    <w:rsid w:val="004920E1"/>
    <w:rsid w:val="00502D98"/>
    <w:rsid w:val="00574CAB"/>
    <w:rsid w:val="006C20F1"/>
    <w:rsid w:val="00804F91"/>
    <w:rsid w:val="00B909BC"/>
    <w:rsid w:val="00C90603"/>
    <w:rsid w:val="00E17501"/>
    <w:rsid w:val="00FF61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chartTrackingRefBased/>
  <w15:docId w15:val="{22896FEF-3E2D-4AD3-BDF2-A1B9CD6DA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35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1139</Words>
  <Characters>6151</Characters>
  <Application>Microsoft Office Word</Application>
  <DocSecurity>0</DocSecurity>
  <Lines>51</Lines>
  <Paragraphs>14</Paragraphs>
  <ScaleCrop>false</ScaleCrop>
  <Company/>
  <LinksUpToDate>false</LinksUpToDate>
  <CharactersWithSpaces>7276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Beuttenmüller</dc:creator>
  <cp:keywords/>
  <dc:description/>
  <cp:lastModifiedBy>Bruno Beuttenmüller</cp:lastModifiedBy>
  <cp:revision>2</cp:revision>
  <dcterms:created xsi:type="dcterms:W3CDTF">2014-08-12T11:55:00Z</dcterms:created>
  <dcterms:modified xsi:type="dcterms:W3CDTF">2014-08-12T12:00:00Z</dcterms:modified>
</cp:coreProperties>
</file>